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rFonts w:ascii="Arial" w:cs="Arial" w:eastAsia="Arial" w:hAnsi="Arial"/>
          <w:b/>
          <w:bCs/>
          <w:color w:val="999999"/>
          <w:sz w:val="18"/>
          <w:szCs w:val="18"/>
        </w:rPr>
        <w:t xml:space="preserve">SAFFRON ROUTE FOODS PVT. LTD. | MALAYSIA MARKET ENTRY</w:t>
      </w:r>
    </w:p>
    <w:p>
      <w:pPr>
        <w:spacing w:after="100"/>
      </w:pPr>
      <w:r>
        <w:rPr>
          <w:rFonts w:ascii="Arial" w:cs="Arial" w:eastAsia="Arial" w:hAnsi="Arial"/>
          <w:b/>
          <w:bCs/>
          <w:color w:val="7A3E00"/>
          <w:sz w:val="44"/>
          <w:szCs w:val="44"/>
        </w:rPr>
        <w:t xml:space="preserve">Market Assessment: Malaysia</w:t>
      </w:r>
    </w:p>
    <w:p>
      <w:pPr>
        <w:spacing w:after="240"/>
      </w:pPr>
      <w:r>
        <w:rPr>
          <w:rFonts w:ascii="Arial" w:cs="Arial" w:eastAsia="Arial" w:hAnsi="Arial"/>
          <w:color w:val="555555"/>
          <w:sz w:val="22"/>
          <w:szCs w:val="22"/>
        </w:rPr>
        <w:t xml:space="preserve">Should Saffron Route Foods, a mid-sized Indian packaged-food brand, enter Malaysia?</w:t>
      </w:r>
    </w:p>
    <w:p>
      <w:pPr>
        <w:pStyle w:val="Heading1"/>
        <w:spacing w:after="120" w:before="280"/>
      </w:pPr>
      <w:r>
        <w:rPr>
          <w:rFonts w:ascii="Arial" w:cs="Arial" w:eastAsia="Arial" w:hAnsi="Arial"/>
          <w:b/>
          <w:bCs/>
          <w:color w:val="7A3E00"/>
          <w:sz w:val="30"/>
          <w:szCs w:val="30"/>
        </w:rPr>
        <w:t xml:space="preserve">1. The case and the answer in brief</w:t>
      </w:r>
    </w:p>
    <w:p>
      <w:pPr>
        <w:spacing w:after="120" w:line="276"/>
      </w:pPr>
      <w:r>
        <w:rPr>
          <w:rFonts w:ascii="Arial" w:cs="Arial" w:eastAsia="Arial" w:hAnsi="Arial"/>
          <w:b/>
          <w:bCs/>
          <w:sz w:val="21"/>
          <w:szCs w:val="21"/>
        </w:rPr>
        <w:t xml:space="preserve">Company. </w:t>
      </w:r>
      <w:r>
        <w:rPr>
          <w:rFonts w:ascii="Arial" w:cs="Arial" w:eastAsia="Arial" w:hAnsi="Arial"/>
          <w:sz w:val="21"/>
          <w:szCs w:val="21"/>
        </w:rPr>
        <w:t xml:space="preserve">Saffron Route Foods Pvt. Ltd. (fictional) is a Pune-based Indian consumer-food company with FY2026 revenue of about INR 1,150 crore (roughly USD 130m). Its portfolio is spice blends and cooking pastes, frozen parathas and ready meals, and namkeen snacks. Exports are about 7% of sales.</w:t>
      </w:r>
    </w:p>
    <w:p>
      <w:pPr>
        <w:spacing w:after="120" w:line="276"/>
      </w:pPr>
      <w:r>
        <w:rPr>
          <w:rFonts w:ascii="Arial" w:cs="Arial" w:eastAsia="Arial" w:hAnsi="Arial"/>
          <w:b/>
          <w:bCs/>
          <w:sz w:val="21"/>
          <w:szCs w:val="21"/>
        </w:rPr>
        <w:t xml:space="preserve">Verdict on market attractiveness. </w:t>
      </w:r>
      <w:r>
        <w:rPr>
          <w:rFonts w:ascii="Arial" w:cs="Arial" w:eastAsia="Arial" w:hAnsi="Arial"/>
          <w:sz w:val="21"/>
          <w:szCs w:val="21"/>
        </w:rPr>
        <w:t xml:space="preserve">Moderately attractive and worth a staged entry. Malaysia is a mature, slow-growing market (population growth 0.5%), but it has a large, cuisine-literate consumer base, strong demand for Indian-style food well beyond the 6.5% Indian-origin population, and a halal framework that Indian certifiers can already serve. The serviceable prize is about MYR 429m (USD 101m) today. A realistic Year-5 position is MYR 30.1m of revenue (about 4.8% share of the 2032 SAM, around INR 62 crore).</w:t>
      </w:r>
    </w:p>
    <w:p>
      <w:pPr>
        <w:pStyle w:val="Heading1"/>
        <w:spacing w:after="120" w:before="280"/>
      </w:pPr>
      <w:r>
        <w:rPr>
          <w:rFonts w:ascii="Arial" w:cs="Arial" w:eastAsia="Arial" w:hAnsi="Arial"/>
          <w:b/>
          <w:bCs/>
          <w:color w:val="7A3E00"/>
          <w:sz w:val="30"/>
          <w:szCs w:val="30"/>
        </w:rPr>
        <w:t xml:space="preserve">2. Market attractiveness</w:t>
      </w:r>
    </w:p>
    <w:p>
      <w:pPr>
        <w:pStyle w:val="Heading2"/>
        <w:spacing w:after="80" w:before="200"/>
      </w:pPr>
      <w:r>
        <w:rPr>
          <w:rFonts w:ascii="Arial" w:cs="Arial" w:eastAsia="Arial" w:hAnsi="Arial"/>
          <w:b/>
          <w:bCs/>
          <w:color w:val="333333"/>
          <w:sz w:val="24"/>
          <w:szCs w:val="24"/>
        </w:rPr>
        <w:t xml:space="preserve">2.1 Market size: TAM, SAM, SOM</w:t>
      </w:r>
    </w:p>
    <w:p>
      <w:pPr>
        <w:spacing w:after="120" w:line="276"/>
      </w:pPr>
      <w:r>
        <w:rPr>
          <w:rFonts w:ascii="Arial" w:cs="Arial" w:eastAsia="Arial" w:hAnsi="Arial"/>
          <w:sz w:val="21"/>
          <w:szCs w:val="21"/>
        </w:rPr>
        <w:t xml:space="preserve">Sizing is bottom-up: population x per-capita category spend x segment affinity for Indian-style products x serviceability filters. A top-down check against retail data is included in the model.</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1500"/>
        <w:gridCol w:w="1500"/>
        <w:gridCol w:w="1500"/>
        <w:gridCol w:w="2946"/>
      </w:tblGrid>
      <w:tr>
        <w:trPr>
          <w:cantSplit/>
          <w:tblHeader/>
        </w:trPr>
        <w:tc>
          <w:tcPr>
            <w:tcW w:type="dxa" w:w="23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Layer</w:t>
            </w:r>
          </w:p>
        </w:tc>
        <w:tc>
          <w:tcPr>
            <w:tcW w:type="dxa" w:w="1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MYR m (2026)</w:t>
            </w:r>
          </w:p>
        </w:tc>
        <w:tc>
          <w:tcPr>
            <w:tcW w:type="dxa" w:w="1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USD m</w:t>
            </w:r>
          </w:p>
        </w:tc>
        <w:tc>
          <w:tcPr>
            <w:tcW w:type="dxa" w:w="1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INR crore</w:t>
            </w:r>
          </w:p>
        </w:tc>
        <w:tc>
          <w:tcPr>
            <w:tcW w:type="dxa" w:w="2946"/>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Definition</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TAM</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8,772</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2,064</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17,983</w:t>
            </w:r>
          </w:p>
        </w:tc>
        <w:tc>
          <w:tcPr>
            <w:tcW w:type="dxa" w:w="29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All spend on spices/pastes, frozen &amp; ready meals, savoury snacks (34.4m people x MYR 255)</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Indian-style pool</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1,073</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253</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2,200</w:t>
            </w:r>
          </w:p>
        </w:tc>
        <w:tc>
          <w:tcPr>
            <w:tcW w:type="dxa" w:w="29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Share of TAM going to Indian / South Asian-flavoured products (12% of TAM)</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SAM</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429</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101</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880</w:t>
            </w:r>
          </w:p>
        </w:tc>
        <w:tc>
          <w:tcPr>
            <w:tcW w:type="dxa" w:w="29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Pool in priority regions (50%) reachable via modern trade, ethnic grocers, online (80%)</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SOM (Year 5, 2032)</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30.1</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7.1</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62</w:t>
            </w:r>
          </w:p>
        </w:tc>
        <w:tc>
          <w:tcPr>
            <w:tcW w:type="dxa" w:w="29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Target ~4.8% of a SAM that grows to MYR 626m by 2032</w:t>
            </w:r>
          </w:p>
        </w:tc>
      </w:tr>
    </w:tbl>
    <w:p>
      <w:pPr>
        <w:spacing w:after="100"/>
      </w:pPr>
      <w:r>
        <w:rPr>
          <w:rFonts w:ascii="Arial" w:cs="Arial" w:eastAsia="Arial" w:hAnsi="Arial"/>
          <w:i/>
          <w:iCs/>
          <w:color w:val="666666"/>
          <w:sz w:val="17"/>
          <w:szCs w:val="17"/>
        </w:rPr>
        <w:t xml:space="preserve">Sources: DOSM (population 34.4m, ethnic shares); team judgement for per-capita spend, affinity and filters. Top-down check: TAM is about 3.8% of food &amp; beverage retail (IMARC retail value, 2025), which is plausible for three packaged categories. Validate spend and affinity with Euromonitor/Nielsen data before committing capital.</w:t>
      </w:r>
    </w:p>
    <w:p>
      <w:pPr>
        <w:pStyle w:val="Heading2"/>
        <w:spacing w:after="80" w:before="200"/>
      </w:pPr>
      <w:r>
        <w:rPr>
          <w:rFonts w:ascii="Arial" w:cs="Arial" w:eastAsia="Arial" w:hAnsi="Arial"/>
          <w:b/>
          <w:bCs/>
          <w:color w:val="333333"/>
          <w:sz w:val="24"/>
          <w:szCs w:val="24"/>
        </w:rPr>
        <w:t xml:space="preserve">2.2 Growth</w:t>
      </w:r>
    </w:p>
    <w:p>
      <w:pPr>
        <w:pStyle w:val="ListParagraph"/>
        <w:numPr>
          <w:ilvl w:val="0"/>
          <w:numId w:val="2"/>
        </w:numPr>
        <w:spacing w:after="60" w:line="264"/>
      </w:pPr>
      <w:r>
        <w:rPr>
          <w:rFonts w:ascii="Arial" w:cs="Arial" w:eastAsia="Arial" w:hAnsi="Arial"/>
          <w:sz w:val="21"/>
          <w:szCs w:val="21"/>
        </w:rPr>
        <w:t xml:space="preserve">Population: 34.4m in 2026, growing only 0.5%; median age 31.7; 70.4% of people are of working age (DOSM). Growth must therefore come from value and share, not headcount.</w:t>
      </w:r>
    </w:p>
    <w:p>
      <w:pPr>
        <w:pStyle w:val="ListParagraph"/>
        <w:numPr>
          <w:ilvl w:val="0"/>
          <w:numId w:val="2"/>
        </w:numPr>
        <w:spacing w:after="60" w:line="264"/>
      </w:pPr>
      <w:r>
        <w:rPr>
          <w:rFonts w:ascii="Arial" w:cs="Arial" w:eastAsia="Arial" w:hAnsi="Arial"/>
          <w:sz w:val="21"/>
          <w:szCs w:val="21"/>
        </w:rPr>
        <w:t xml:space="preserve">Category: we model total TAM at 5% value growth and the Indian-style SAM at 6.5% (price, cuisine diffusion, online). These are judgements, and the sensitivity analysis shows the plan is not very sensitive to market growth compared with execution drivers.</w:t>
      </w:r>
    </w:p>
    <w:p>
      <w:pPr>
        <w:pStyle w:val="ListParagraph"/>
        <w:numPr>
          <w:ilvl w:val="0"/>
          <w:numId w:val="2"/>
        </w:numPr>
        <w:spacing w:after="60" w:line="264"/>
      </w:pPr>
      <w:r>
        <w:rPr>
          <w:rFonts w:ascii="Arial" w:cs="Arial" w:eastAsia="Arial" w:hAnsi="Arial"/>
          <w:sz w:val="21"/>
          <w:szCs w:val="21"/>
        </w:rPr>
        <w:t xml:space="preserve">Retail overall is forecast at about 3.8% CAGR to 2034 (IMARC), and Euromonitor notes value-conscious shoppers and pack-size strategies in packaged food. Price discipline matters.</w:t>
      </w:r>
    </w:p>
    <w:p>
      <w:pPr>
        <w:pStyle w:val="Heading2"/>
        <w:spacing w:after="80" w:before="200"/>
      </w:pPr>
      <w:r>
        <w:rPr>
          <w:rFonts w:ascii="Arial" w:cs="Arial" w:eastAsia="Arial" w:hAnsi="Arial"/>
          <w:b/>
          <w:bCs/>
          <w:color w:val="333333"/>
          <w:sz w:val="24"/>
          <w:szCs w:val="24"/>
        </w:rPr>
        <w:t xml:space="preserve">2.3 Consumer segments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300"/>
        <w:gridCol w:w="1300"/>
        <w:gridCol w:w="1500"/>
        <w:gridCol w:w="1500"/>
        <w:gridCol w:w="3146"/>
      </w:tblGrid>
      <w:tr>
        <w:trPr>
          <w:cantSplit/>
          <w:tblHeader/>
        </w:trPr>
        <w:tc>
          <w:tcPr>
            <w:tcW w:type="dxa" w:w="23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Segment</w:t>
            </w:r>
          </w:p>
        </w:tc>
        <w:tc>
          <w:tcPr>
            <w:tcW w:type="dxa" w:w="13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People (m)</w:t>
            </w:r>
          </w:p>
        </w:tc>
        <w:tc>
          <w:tcPr>
            <w:tcW w:type="dxa" w:w="1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Indian-style spend (MYR m)</w:t>
            </w:r>
          </w:p>
        </w:tc>
        <w:tc>
          <w:tcPr>
            <w:tcW w:type="dxa" w:w="1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Share of pool</w:t>
            </w:r>
          </w:p>
        </w:tc>
        <w:tc>
          <w:tcPr>
            <w:tcW w:type="dxa" w:w="3146"/>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Role for Saffron Route</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Malay and other Bumiputera</w:t>
            </w:r>
          </w:p>
        </w:tc>
        <w:tc>
          <w:tcPr>
            <w:tcW w:type="dxa" w:w="13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24.3</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720</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67%</w:t>
            </w:r>
          </w:p>
        </w:tc>
        <w:tc>
          <w:tcPr>
            <w:tcW w:type="dxa" w:w="3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Largest pool via halal trust; frozen paratha/roti and curry pastes; needs halal logo and Bahasa labelling</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Malaysian Indian</w:t>
            </w:r>
          </w:p>
        </w:tc>
        <w:tc>
          <w:tcPr>
            <w:tcW w:type="dxa" w:w="13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2.2</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228</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21%</w:t>
            </w:r>
          </w:p>
        </w:tc>
        <w:tc>
          <w:tcPr>
            <w:tcW w:type="dxa" w:w="3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Beachhead: authenticity seekers, highest per-capita spend (about MYR 102), ethnic grocers and festive peaks</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Chinese</w:t>
            </w:r>
          </w:p>
        </w:tc>
        <w:tc>
          <w:tcPr>
            <w:tcW w:type="dxa" w:w="13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7.6</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114</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11%</w:t>
            </w:r>
          </w:p>
        </w:tc>
        <w:tc>
          <w:tcPr>
            <w:tcW w:type="dxa" w:w="3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Urban, convenience and snack-led; online and modern trade</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Others incl. expatriate/South Asian</w:t>
            </w:r>
          </w:p>
        </w:tc>
        <w:tc>
          <w:tcPr>
            <w:tcW w:type="dxa" w:w="13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0.3</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11</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1%</w:t>
            </w:r>
          </w:p>
        </w:tc>
        <w:tc>
          <w:tcPr>
            <w:tcW w:type="dxa" w:w="3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Small in the sizing, but non-citizens are 9.8% of residents (DOSM) and an under-measured South Asian demand pocket</w:t>
            </w:r>
          </w:p>
        </w:tc>
      </w:tr>
      <w:tr>
        <w:trPr>
          <w:cantSplit/>
        </w:trPr>
        <w:tc>
          <w:tcPr>
            <w:tcW w:type="dxa" w:w="2300"/>
            <w:tcBorders>
              <w:top w:val="single" w:color="CCCCCC" w:sz="4"/>
              <w:left w:val="single" w:color="CCCCCC" w:sz="4"/>
              <w:bottom w:val="single" w:color="CCCCCC" w:sz="4"/>
              <w:right w:val="single" w:color="CCCCCC" w:sz="4"/>
            </w:tcBorders>
            <w:shd w:fill="F6E3C8" w:color="auto" w:val="clear"/>
            <w:tcMar>
              <w:top w:type="dxa" w:w="60"/>
              <w:left w:type="dxa" w:w="90"/>
              <w:bottom w:type="dxa" w:w="60"/>
              <w:right w:type="dxa" w:w="90"/>
            </w:tcMar>
          </w:tcPr>
          <w:p>
            <w:r>
              <w:rPr>
                <w:rFonts w:ascii="Arial" w:cs="Arial" w:eastAsia="Arial" w:hAnsi="Arial"/>
                <w:b/>
                <w:bCs/>
                <w:color w:val="000000"/>
                <w:sz w:val="18"/>
                <w:szCs w:val="18"/>
              </w:rPr>
              <w:t xml:space="preserve">Foodservice (mamak, cloud kitchens)</w:t>
            </w:r>
          </w:p>
        </w:tc>
        <w:tc>
          <w:tcPr>
            <w:tcW w:type="dxa" w:w="13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n/a</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n/a</w:t>
            </w:r>
          </w:p>
        </w:tc>
        <w:tc>
          <w:tcPr>
            <w:tcW w:type="dxa" w:w="1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n/a</w:t>
            </w:r>
          </w:p>
        </w:tc>
        <w:tc>
          <w:tcPr>
            <w:tcW w:type="dxa" w:w="3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b w:val="false"/>
                <w:bCs w:val="false"/>
                <w:color w:val="000000"/>
                <w:sz w:val="18"/>
                <w:szCs w:val="18"/>
              </w:rPr>
              <w:t xml:space="preserve">Bulk packs; modelled as a separate B2B revenue line (MYR 3.2m by Year 5)</w:t>
            </w:r>
          </w:p>
        </w:tc>
      </w:tr>
    </w:tbl>
    <w:p>
      <w:pPr>
        <w:pStyle w:val="Heading2"/>
        <w:spacing w:after="80" w:before="200"/>
      </w:pPr>
      <w:r>
        <w:rPr>
          <w:rFonts w:ascii="Arial" w:cs="Arial" w:eastAsia="Arial" w:hAnsi="Arial"/>
          <w:b/>
          <w:bCs/>
          <w:color w:val="333333"/>
          <w:sz w:val="24"/>
          <w:szCs w:val="24"/>
        </w:rPr>
        <w:t xml:space="preserve">2.4 Demand drivers</w:t>
      </w:r>
    </w:p>
    <w:p>
      <w:pPr>
        <w:pStyle w:val="ListParagraph"/>
        <w:numPr>
          <w:ilvl w:val="0"/>
          <w:numId w:val="2"/>
        </w:numPr>
        <w:spacing w:after="60" w:line="264"/>
      </w:pPr>
      <w:r>
        <w:rPr>
          <w:rFonts w:ascii="Arial" w:cs="Arial" w:eastAsia="Arial" w:hAnsi="Arial"/>
          <w:b/>
          <w:bCs/>
          <w:sz w:val="21"/>
          <w:szCs w:val="21"/>
        </w:rPr>
        <w:t xml:space="preserve">Cuisine familiarity: </w:t>
      </w:r>
      <w:r>
        <w:rPr>
          <w:rFonts w:ascii="Arial" w:cs="Arial" w:eastAsia="Arial" w:hAnsi="Arial"/>
          <w:sz w:val="21"/>
          <w:szCs w:val="21"/>
        </w:rPr>
        <w:t xml:space="preserve">roti canai and curry are mainstream Malaysian foods, so affinity extends beyond the Indian-origin population.</w:t>
      </w:r>
    </w:p>
    <w:p>
      <w:pPr>
        <w:pStyle w:val="ListParagraph"/>
        <w:numPr>
          <w:ilvl w:val="0"/>
          <w:numId w:val="2"/>
        </w:numPr>
        <w:spacing w:after="60" w:line="264"/>
      </w:pPr>
      <w:r>
        <w:rPr>
          <w:rFonts w:ascii="Arial" w:cs="Arial" w:eastAsia="Arial" w:hAnsi="Arial"/>
          <w:b/>
          <w:bCs/>
          <w:sz w:val="21"/>
          <w:szCs w:val="21"/>
        </w:rPr>
        <w:t xml:space="preserve">Concentrated, urban demand: </w:t>
      </w:r>
      <w:r>
        <w:rPr>
          <w:rFonts w:ascii="Arial" w:cs="Arial" w:eastAsia="Arial" w:hAnsi="Arial"/>
          <w:sz w:val="21"/>
          <w:szCs w:val="21"/>
        </w:rPr>
        <w:t xml:space="preserve">Selangor holds 21.7% of the population and Johor 12.3% (DOSM 2026), which keeps distribution costs manageable.</w:t>
      </w:r>
    </w:p>
    <w:p>
      <w:pPr>
        <w:pStyle w:val="ListParagraph"/>
        <w:numPr>
          <w:ilvl w:val="0"/>
          <w:numId w:val="2"/>
        </w:numPr>
        <w:spacing w:after="60" w:line="264"/>
      </w:pPr>
      <w:r>
        <w:rPr>
          <w:rFonts w:ascii="Arial" w:cs="Arial" w:eastAsia="Arial" w:hAnsi="Arial"/>
          <w:b/>
          <w:bCs/>
          <w:sz w:val="21"/>
          <w:szCs w:val="21"/>
        </w:rPr>
        <w:t xml:space="preserve">Convenience and digital: </w:t>
      </w:r>
      <w:r>
        <w:rPr>
          <w:rFonts w:ascii="Arial" w:cs="Arial" w:eastAsia="Arial" w:hAnsi="Arial"/>
          <w:sz w:val="21"/>
          <w:szCs w:val="21"/>
        </w:rPr>
        <w:t xml:space="preserve">83% of surveyed shoppers have bought on Shopee, 64% on TikTok Shop and 42% on Lazada (Vodus, Aug 2026). Social commerce lowers the cost of discovering a new brand. Market-size estimates vary widely by definition (USD 12bn to 38bn), so we use platform reach, not size, as evidence.</w:t>
      </w:r>
    </w:p>
    <w:p>
      <w:pPr>
        <w:pStyle w:val="ListParagraph"/>
        <w:numPr>
          <w:ilvl w:val="0"/>
          <w:numId w:val="2"/>
        </w:numPr>
        <w:spacing w:after="60" w:line="264"/>
      </w:pPr>
      <w:r>
        <w:rPr>
          <w:rFonts w:ascii="Arial" w:cs="Arial" w:eastAsia="Arial" w:hAnsi="Arial"/>
          <w:b/>
          <w:bCs/>
          <w:sz w:val="21"/>
          <w:szCs w:val="21"/>
        </w:rPr>
        <w:t xml:space="preserve">Halal as a trust signal: </w:t>
      </w:r>
      <w:r>
        <w:rPr>
          <w:rFonts w:ascii="Arial" w:cs="Arial" w:eastAsia="Arial" w:hAnsi="Arial"/>
          <w:sz w:val="21"/>
          <w:szCs w:val="21"/>
        </w:rPr>
        <w:t xml:space="preserve">Malay and other Bumiputera groups are 70.6% of the population. A recognised halal certificate converts a niche import into a mainstream-eligible product.</w:t>
      </w:r>
    </w:p>
    <w:p>
      <w:pPr>
        <w:pStyle w:val="Heading1"/>
        <w:spacing w:after="120" w:before="280"/>
      </w:pPr>
      <w:r>
        <w:rPr>
          <w:rFonts w:ascii="Arial" w:cs="Arial" w:eastAsia="Arial" w:hAnsi="Arial"/>
          <w:b/>
          <w:bCs/>
          <w:color w:val="7A3E00"/>
          <w:sz w:val="30"/>
          <w:szCs w:val="30"/>
        </w:rPr>
        <w:t xml:space="preserve">3. Regulatory and market-access requirements</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600"/>
        <w:gridCol w:w="7146"/>
      </w:tblGrid>
      <w:tr>
        <w:trPr>
          <w:cantSplit/>
          <w:tblHeader/>
        </w:trPr>
        <w:tc>
          <w:tcPr>
            <w:tcW w:type="dxa" w:w="26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Area</w:t>
            </w:r>
          </w:p>
        </w:tc>
        <w:tc>
          <w:tcPr>
            <w:tcW w:type="dxa" w:w="7146"/>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What it means for Saffron Route</w:t>
            </w:r>
          </w:p>
        </w:tc>
      </w:tr>
      <w:tr>
        <w:trPr>
          <w:cantSplit/>
        </w:trPr>
        <w:tc>
          <w:tcPr>
            <w:tcW w:type="dxa" w:w="26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Halal</w:t>
            </w:r>
          </w:p>
        </w:tc>
        <w:tc>
          <w:tcPr>
            <w:tcW w:type="dxa" w:w="7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Imported goods cannot be marked halal unless certified by a foreign body recognised by JAKIM; JAKIM listed 94 bodies in about 48 countries from 30 Jan 2026, including Indian bodies. The importer must show the certifier name on pack. This is a gating item, so start in Month 0.</w:t>
            </w:r>
          </w:p>
        </w:tc>
      </w:tr>
      <w:tr>
        <w:trPr>
          <w:cantSplit/>
        </w:trPr>
        <w:tc>
          <w:tcPr>
            <w:tcW w:type="dxa" w:w="26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Food safety and labelling</w:t>
            </w:r>
          </w:p>
        </w:tc>
        <w:tc>
          <w:tcPr>
            <w:tcW w:type="dxa" w:w="7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Product registration, ingredient and nutrition labelling and Bahasa Malaysia content under Malaysian food regulations (confirm with a local regulatory consultant). Euromonitor also flags updated labelling rules and moves toward mandatory packaging EPR and a plastic packaging tax.</w:t>
            </w:r>
          </w:p>
        </w:tc>
      </w:tr>
      <w:tr>
        <w:trPr>
          <w:cantSplit/>
        </w:trPr>
        <w:tc>
          <w:tcPr>
            <w:tcW w:type="dxa" w:w="26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Tariffs and tax</w:t>
            </w:r>
          </w:p>
        </w:tc>
        <w:tc>
          <w:tcPr>
            <w:tcW w:type="dxa" w:w="7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Duty and SST depend on HS code; check preferences under the India-Malaysia and ASEAN-India agreements. Treat as a COGS risk (modelled via the COGS scenario lever).</w:t>
            </w:r>
          </w:p>
        </w:tc>
      </w:tr>
      <w:tr>
        <w:trPr>
          <w:cantSplit/>
        </w:trPr>
        <w:tc>
          <w:tcPr>
            <w:tcW w:type="dxa" w:w="26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Distribution licensing</w:t>
            </w:r>
          </w:p>
        </w:tc>
        <w:tc>
          <w:tcPr>
            <w:tcW w:type="dxa" w:w="7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Foreign-owned wholesale/retail entities can face equity and licensing conditions (KPDN). This favours a licensed local distributor in Phase 1. Confirm with counsel.</w:t>
            </w:r>
          </w:p>
        </w:tc>
      </w:tr>
      <w:tr>
        <w:trPr>
          <w:cantSplit/>
        </w:trPr>
        <w:tc>
          <w:tcPr>
            <w:tcW w:type="dxa" w:w="26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Currency</w:t>
            </w:r>
          </w:p>
        </w:tc>
        <w:tc>
          <w:tcPr>
            <w:tcW w:type="dxa" w:w="71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INR-MYR exposure on landed COGS; hedge or price-index annually.</w:t>
            </w:r>
          </w:p>
        </w:tc>
      </w:tr>
    </w:tbl>
    <w:p>
      <w:pPr>
        <w:pStyle w:val="Heading1"/>
        <w:spacing w:after="120" w:before="280"/>
      </w:pPr>
      <w:r>
        <w:rPr>
          <w:rFonts w:ascii="Arial" w:cs="Arial" w:eastAsia="Arial" w:hAnsi="Arial"/>
          <w:b/>
          <w:bCs/>
          <w:color w:val="7A3E00"/>
          <w:sz w:val="30"/>
          <w:szCs w:val="30"/>
        </w:rPr>
        <w:t xml:space="preserve">4. Competitive landscape</w:t>
      </w:r>
    </w:p>
    <w:p>
      <w:pPr>
        <w:spacing w:after="120" w:line="276"/>
      </w:pPr>
      <w:r>
        <w:rPr>
          <w:rFonts w:ascii="Arial" w:cs="Arial" w:eastAsia="Arial" w:hAnsi="Arial"/>
          <w:sz w:val="21"/>
          <w:szCs w:val="21"/>
        </w:rPr>
        <w:t xml:space="preserve">The categories are crowded but fragmented by cuisine. Competitors fall into five archetypes. Price index is indicative (local mass brand = 100) and must be verified by a shelf audit in Phase 0.</w:t>
      </w:r>
    </w:p>
    <w:tbl>
      <w:tblPr>
        <w:tblW w:type="dxa" w:w="9746"/>
        <w:tblBorders>
          <w:top w:val="single" w:color="auto" w:sz="4"/>
          <w:left w:val="single" w:color="auto" w:sz="4"/>
          <w:bottom w:val="single" w:color="auto" w:sz="4"/>
          <w:right w:val="single" w:color="auto" w:sz="4"/>
          <w:insideH w:val="single" w:color="auto" w:sz="4"/>
          <w:insideV w:val="single" w:color="auto" w:sz="4"/>
        </w:tblBorders>
      </w:tblPr>
      <w:tblGrid>
        <w:gridCol w:w="2000"/>
        <w:gridCol w:w="1000"/>
        <w:gridCol w:w="2500"/>
        <w:gridCol w:w="4246"/>
      </w:tblGrid>
      <w:tr>
        <w:trPr>
          <w:cantSplit/>
          <w:tblHeader/>
        </w:trPr>
        <w:tc>
          <w:tcPr>
            <w:tcW w:type="dxa" w:w="20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Archetype (examples)</w:t>
            </w:r>
          </w:p>
        </w:tc>
        <w:tc>
          <w:tcPr>
            <w:tcW w:type="dxa" w:w="10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Price index</w:t>
            </w:r>
          </w:p>
        </w:tc>
        <w:tc>
          <w:tcPr>
            <w:tcW w:type="dxa" w:w="2500"/>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Distribution</w:t>
            </w:r>
          </w:p>
        </w:tc>
        <w:tc>
          <w:tcPr>
            <w:tcW w:type="dxa" w:w="4246"/>
            <w:tcBorders>
              <w:top w:val="single" w:color="CCCCCC" w:sz="4"/>
              <w:left w:val="single" w:color="CCCCCC" w:sz="4"/>
              <w:bottom w:val="single" w:color="CCCCCC" w:sz="4"/>
              <w:right w:val="single" w:color="CCCCCC" w:sz="4"/>
            </w:tcBorders>
            <w:shd w:fill="7A3E00" w:color="auto" w:val="clear"/>
            <w:tcMar>
              <w:top w:type="dxa" w:w="60"/>
              <w:left w:type="dxa" w:w="90"/>
              <w:bottom w:type="dxa" w:w="60"/>
              <w:right w:type="dxa" w:w="90"/>
            </w:tcMar>
          </w:tcPr>
          <w:p>
            <w:r>
              <w:rPr>
                <w:rFonts w:ascii="Arial" w:cs="Arial" w:eastAsia="Arial" w:hAnsi="Arial"/>
                <w:b/>
                <w:bCs/>
                <w:color w:val="FFFFFF"/>
                <w:sz w:val="18"/>
                <w:szCs w:val="18"/>
              </w:rPr>
              <w:t xml:space="preserve">Positioning and weakness</w:t>
            </w:r>
          </w:p>
        </w:tc>
      </w:tr>
      <w:tr>
        <w:trPr>
          <w:cantSplit/>
        </w:trPr>
        <w:tc>
          <w:tcPr>
            <w:tcW w:type="dxa" w:w="2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Local curry and spice brands (e.g. Baba's, Adabi, Brahim's, Ayam Brand)</w:t>
            </w:r>
          </w:p>
        </w:tc>
        <w:tc>
          <w:tcPr>
            <w:tcW w:type="dxa" w:w="1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100</w:t>
            </w:r>
          </w:p>
        </w:tc>
        <w:tc>
          <w:tcPr>
            <w:tcW w:type="dxa" w:w="2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Everywhere: hypermarkets, minimarkets, traditional trade</w:t>
            </w:r>
          </w:p>
        </w:tc>
        <w:tc>
          <w:tcPr>
            <w:tcW w:type="dxa" w:w="42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Trusted and locally halal-certified; limited regional-Indian authenticity and range depth</w:t>
            </w:r>
          </w:p>
        </w:tc>
      </w:tr>
      <w:tr>
        <w:trPr>
          <w:cantSplit/>
        </w:trPr>
        <w:tc>
          <w:tcPr>
            <w:tcW w:type="dxa" w:w="2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Multinational cooking aids (e.g. Maggi, Knorr)</w:t>
            </w:r>
          </w:p>
        </w:tc>
        <w:tc>
          <w:tcPr>
            <w:tcW w:type="dxa" w:w="1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110-130</w:t>
            </w:r>
          </w:p>
        </w:tc>
        <w:tc>
          <w:tcPr>
            <w:tcW w:type="dxa" w:w="2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Hypermarkets, convenience, large trade spend</w:t>
            </w:r>
          </w:p>
        </w:tc>
        <w:tc>
          <w:tcPr>
            <w:tcW w:type="dxa" w:w="42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Convenience and scale; generic flavours</w:t>
            </w:r>
          </w:p>
        </w:tc>
      </w:tr>
      <w:tr>
        <w:trPr>
          <w:cantSplit/>
        </w:trPr>
        <w:tc>
          <w:tcPr>
            <w:tcW w:type="dxa" w:w="2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Local frozen roti/paratha (e.g. Kawan Food)</w:t>
            </w:r>
          </w:p>
        </w:tc>
        <w:tc>
          <w:tcPr>
            <w:tcW w:type="dxa" w:w="1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95-110</w:t>
            </w:r>
          </w:p>
        </w:tc>
        <w:tc>
          <w:tcPr>
            <w:tcW w:type="dxa" w:w="2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Supermarkets, frozen cabinets, foodservice</w:t>
            </w:r>
          </w:p>
        </w:tc>
        <w:tc>
          <w:tcPr>
            <w:tcW w:type="dxa" w:w="42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Strong cold chain and price; narrow ready-meal range</w:t>
            </w:r>
          </w:p>
        </w:tc>
      </w:tr>
      <w:tr>
        <w:trPr>
          <w:cantSplit/>
        </w:trPr>
        <w:tc>
          <w:tcPr>
            <w:tcW w:type="dxa" w:w="2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Indian imports (e.g. MTR, Haldiram's, Aachi, Everest)</w:t>
            </w:r>
          </w:p>
        </w:tc>
        <w:tc>
          <w:tcPr>
            <w:tcW w:type="dxa" w:w="1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130-170</w:t>
            </w:r>
          </w:p>
        </w:tc>
        <w:tc>
          <w:tcPr>
            <w:tcW w:type="dxa" w:w="2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Ethnic grocers, selected supermarkets via importers</w:t>
            </w:r>
          </w:p>
        </w:tc>
        <w:tc>
          <w:tcPr>
            <w:tcW w:type="dxa" w:w="42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Authentic but premium-priced, inconsistent availability and weak local marketing</w:t>
            </w:r>
          </w:p>
        </w:tc>
      </w:tr>
      <w:tr>
        <w:trPr>
          <w:cantSplit/>
        </w:trPr>
        <w:tc>
          <w:tcPr>
            <w:tcW w:type="dxa" w:w="2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Local snack leaders (e.g. Mamee, Khee San, Jack 'n Jill)</w:t>
            </w:r>
          </w:p>
        </w:tc>
        <w:tc>
          <w:tcPr>
            <w:tcW w:type="dxa" w:w="10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90-110</w:t>
            </w:r>
          </w:p>
        </w:tc>
        <w:tc>
          <w:tcPr>
            <w:tcW w:type="dxa" w:w="2500"/>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Convenience, minimarkets, 99 Speedmart-type chains</w:t>
            </w:r>
          </w:p>
        </w:tc>
        <w:tc>
          <w:tcPr>
            <w:tcW w:type="dxa" w:w="4246"/>
            <w:tcBorders>
              <w:top w:val="single" w:color="CCCCCC" w:sz="4"/>
              <w:left w:val="single" w:color="CCCCCC" w:sz="4"/>
              <w:bottom w:val="single" w:color="CCCCCC" w:sz="4"/>
              <w:right w:val="single" w:color="CCCCCC" w:sz="4"/>
            </w:tcBorders>
            <w:tcMar>
              <w:top w:type="dxa" w:w="60"/>
              <w:left w:type="dxa" w:w="90"/>
              <w:bottom w:type="dxa" w:w="60"/>
              <w:right w:type="dxa" w:w="90"/>
            </w:tcMar>
          </w:tcPr>
          <w:p>
            <w:r>
              <w:rPr>
                <w:rFonts w:ascii="Arial" w:cs="Arial" w:eastAsia="Arial" w:hAnsi="Arial"/>
                <w:color w:val="000000"/>
                <w:sz w:val="18"/>
                <w:szCs w:val="18"/>
              </w:rPr>
              <w:t xml:space="preserve">Mass and cheap; low authenticity for namkeen-style snacks</w:t>
            </w:r>
          </w:p>
        </w:tc>
      </w:tr>
    </w:tbl>
    <w:p>
      <w:pPr>
        <w:spacing w:after="80"/>
      </w:pPr>
    </w:p>
    <w:p>
      <w:pPr>
        <w:spacing w:after="120" w:line="276"/>
      </w:pPr>
      <w:r>
        <w:rPr>
          <w:rFonts w:ascii="Arial" w:cs="Arial" w:eastAsia="Arial" w:hAnsi="Arial"/>
          <w:b/>
          <w:bCs/>
          <w:sz w:val="21"/>
          <w:szCs w:val="21"/>
        </w:rPr>
        <w:t xml:space="preserve">White space. </w:t>
      </w:r>
      <w:r>
        <w:rPr>
          <w:rFonts w:ascii="Arial" w:cs="Arial" w:eastAsia="Arial" w:hAnsi="Arial"/>
          <w:sz w:val="21"/>
          <w:szCs w:val="21"/>
        </w:rPr>
        <w:t xml:space="preserve">Indian-authentic flavour at near-local price (index 115-125), halal-certified, with consistent availability. The proposition beats imports on price and availability, and local brands on authenticity and regional range.</w:t>
      </w:r>
    </w:p>
    <w:p>
      <w:pPr>
        <w:pStyle w:val="Heading2"/>
        <w:spacing w:after="80" w:before="200"/>
      </w:pPr>
      <w:r>
        <w:rPr>
          <w:rFonts w:ascii="Arial" w:cs="Arial" w:eastAsia="Arial" w:hAnsi="Arial"/>
          <w:b/>
          <w:bCs/>
          <w:color w:val="333333"/>
          <w:sz w:val="24"/>
          <w:szCs w:val="24"/>
        </w:rPr>
        <w:t xml:space="preserve">4.1 Barriers to entry</w:t>
      </w:r>
    </w:p>
    <w:p>
      <w:pPr>
        <w:pStyle w:val="ListParagraph"/>
        <w:numPr>
          <w:ilvl w:val="0"/>
          <w:numId w:val="2"/>
        </w:numPr>
        <w:spacing w:after="60" w:line="264"/>
      </w:pPr>
      <w:r>
        <w:rPr>
          <w:rFonts w:ascii="Arial" w:cs="Arial" w:eastAsia="Arial" w:hAnsi="Arial"/>
          <w:b/>
          <w:bCs/>
          <w:sz w:val="21"/>
          <w:szCs w:val="21"/>
        </w:rPr>
        <w:t xml:space="preserve">Medium-high: </w:t>
      </w:r>
      <w:r>
        <w:rPr>
          <w:rFonts w:ascii="Arial" w:cs="Arial" w:eastAsia="Arial" w:hAnsi="Arial"/>
          <w:sz w:val="21"/>
          <w:szCs w:val="21"/>
        </w:rPr>
        <w:t xml:space="preserve">halal certification lead-time, retailer listing fees and 60-90 day payment terms, distributor relationships, and shelf-space competition from local incumbents.</w:t>
      </w:r>
    </w:p>
    <w:p>
      <w:pPr>
        <w:pStyle w:val="ListParagraph"/>
        <w:numPr>
          <w:ilvl w:val="0"/>
          <w:numId w:val="2"/>
        </w:numPr>
        <w:spacing w:after="60" w:line="264"/>
      </w:pPr>
      <w:r>
        <w:rPr>
          <w:rFonts w:ascii="Arial" w:cs="Arial" w:eastAsia="Arial" w:hAnsi="Arial"/>
          <w:b/>
          <w:bCs/>
          <w:sz w:val="21"/>
          <w:szCs w:val="21"/>
        </w:rPr>
        <w:t xml:space="preserve">Medium: </w:t>
      </w:r>
      <w:r>
        <w:rPr>
          <w:rFonts w:ascii="Arial" w:cs="Arial" w:eastAsia="Arial" w:hAnsi="Arial"/>
          <w:sz w:val="21"/>
          <w:szCs w:val="21"/>
        </w:rPr>
        <w:t xml:space="preserve">brand awareness outside the Indian community, FX and duty volatility, and cold-chain capability for frozen lines.</w:t>
      </w:r>
    </w:p>
    <w:p>
      <w:pPr>
        <w:pStyle w:val="ListParagraph"/>
        <w:numPr>
          <w:ilvl w:val="0"/>
          <w:numId w:val="2"/>
        </w:numPr>
        <w:spacing w:after="60" w:line="264"/>
      </w:pPr>
      <w:r>
        <w:rPr>
          <w:rFonts w:ascii="Arial" w:cs="Arial" w:eastAsia="Arial" w:hAnsi="Arial"/>
          <w:b/>
          <w:bCs/>
          <w:sz w:val="21"/>
          <w:szCs w:val="21"/>
        </w:rPr>
        <w:t xml:space="preserve">Low: </w:t>
      </w:r>
      <w:r>
        <w:rPr>
          <w:rFonts w:ascii="Arial" w:cs="Arial" w:eastAsia="Arial" w:hAnsi="Arial"/>
          <w:sz w:val="21"/>
          <w:szCs w:val="21"/>
        </w:rPr>
        <w:t xml:space="preserve">online entry through Shopee, TikTok Shop and Lazada, which makes a digital layer the cheapest way to test demand.</w:t>
      </w:r>
    </w:p>
    <w:p>
      <w:pPr>
        <w:pStyle w:val="Heading1"/>
        <w:spacing w:after="120" w:before="280"/>
      </w:pPr>
      <w:r>
        <w:rPr>
          <w:rFonts w:ascii="Arial" w:cs="Arial" w:eastAsia="Arial" w:hAnsi="Arial"/>
          <w:b/>
          <w:bCs/>
          <w:color w:val="7A3E00"/>
          <w:sz w:val="30"/>
          <w:szCs w:val="30"/>
        </w:rPr>
        <w:t xml:space="preserve">5. Evidence quality and open questions</w:t>
      </w:r>
    </w:p>
    <w:p>
      <w:pPr>
        <w:pStyle w:val="ListParagraph"/>
        <w:numPr>
          <w:ilvl w:val="0"/>
          <w:numId w:val="2"/>
        </w:numPr>
        <w:spacing w:after="60" w:line="264"/>
      </w:pPr>
      <w:r>
        <w:rPr>
          <w:rFonts w:ascii="Arial" w:cs="Arial" w:eastAsia="Arial" w:hAnsi="Arial"/>
          <w:sz w:val="21"/>
          <w:szCs w:val="21"/>
        </w:rPr>
        <w:t xml:space="preserve">High confidence: population, ethnic mix and halal rules (official sources).</w:t>
      </w:r>
    </w:p>
    <w:p>
      <w:pPr>
        <w:pStyle w:val="ListParagraph"/>
        <w:numPr>
          <w:ilvl w:val="0"/>
          <w:numId w:val="2"/>
        </w:numPr>
        <w:spacing w:after="60" w:line="264"/>
      </w:pPr>
      <w:r>
        <w:rPr>
          <w:rFonts w:ascii="Arial" w:cs="Arial" w:eastAsia="Arial" w:hAnsi="Arial"/>
          <w:sz w:val="21"/>
          <w:szCs w:val="21"/>
        </w:rPr>
        <w:t xml:space="preserve">Medium: retail and e-commerce context (third-party research with differing definitions).</w:t>
      </w:r>
    </w:p>
    <w:p>
      <w:pPr>
        <w:pStyle w:val="ListParagraph"/>
        <w:numPr>
          <w:ilvl w:val="0"/>
          <w:numId w:val="2"/>
        </w:numPr>
        <w:spacing w:after="60" w:line="264"/>
      </w:pPr>
      <w:r>
        <w:rPr>
          <w:rFonts w:ascii="Arial" w:cs="Arial" w:eastAsia="Arial" w:hAnsi="Arial"/>
          <w:sz w:val="21"/>
          <w:szCs w:val="21"/>
        </w:rPr>
        <w:t xml:space="preserve">Low, to validate in a 6-8 week Phase 0: per-capita spend, Indian-style affinity by segment, competitor price index, and distributor terms. These drive the model more than any other input.</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888888"/>
        <w:sz w:val="16"/>
        <w:szCs w:val="16"/>
      </w:rPr>
      <w:t xml:space="preserve">Saffron Route Foods (fictional company) | Illustrative case study | Page </w:t>
    </w:r>
    <w:r>
      <w:rPr>
        <w:rFonts w:ascii="Arial" w:cs="Arial" w:eastAsia="Arial" w:hAnsi="Arial"/>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2026-10-12T19:34:44.667Z</dcterms:created>
  <dcterms:modified xsi:type="dcterms:W3CDTF">2026-10-12T19:34:44.671Z</dcterms:modified>
</cp:coreProperties>
</file>

<file path=docProps/custom.xml><?xml version="1.0" encoding="utf-8"?>
<Properties xmlns="http://schemas.openxmlformats.org/officeDocument/2006/custom-properties" xmlns:vt="http://schemas.openxmlformats.org/officeDocument/2006/docPropsVTypes"/>
</file>