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600"/>
      </w:pPr>
      <w:r>
        <w:rPr>
          <w:rFonts w:ascii="Arial" w:cs="Arial" w:eastAsia="Arial" w:hAnsi="Arial"/>
          <w:b/>
          <w:bCs/>
          <w:color w:val="999999"/>
          <w:sz w:val="18"/>
          <w:szCs w:val="18"/>
        </w:rPr>
        <w:t xml:space="preserve">SAFFRON ROUTE FOODS PVT. LTD. | MALAYSIA MARKET ENTRY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7A3E00"/>
          <w:sz w:val="44"/>
          <w:szCs w:val="44"/>
        </w:rPr>
        <w:t xml:space="preserve">Entry Strategy Evaluation</w:t>
      </w:r>
    </w:p>
    <w:p>
      <w:pPr>
        <w:spacing w:after="24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Four ways into Malaysia compared, and the recommended path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7A3E00"/>
          <w:sz w:val="30"/>
          <w:szCs w:val="30"/>
        </w:rPr>
        <w:t xml:space="preserve">1. Recommendation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Enter Malaysia through a partner-led hybrid: </w:t>
      </w:r>
      <w:r>
        <w:rPr>
          <w:rFonts w:ascii="Arial" w:cs="Arial" w:eastAsia="Arial" w:hAnsi="Arial"/>
          <w:sz w:val="21"/>
          <w:szCs w:val="21"/>
        </w:rPr>
        <w:t xml:space="preserve">a licensed local distributor for modern trade and ethnic grocers, plus a Saffron Route-controlled digital layer (Shopee, TikTok Shop, Lazada, own D2C) and a small foodservice team. Commit capital in stages, with the option to step up to local co-packing or a joint venture once the market is proven.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Base case: NPV MYR 11.8m (MYR 7.4m on an exit-multiple cross-check), operating break-even in Year 3, Year-5 revenue MYR 30.0m (about INR 62 crore) at a 13% EBIT margin, and a peak funding need of MYR 8.3m (about INR 17 crore).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7A3E00"/>
          <w:sz w:val="30"/>
          <w:szCs w:val="30"/>
        </w:rPr>
        <w:t xml:space="preserve">2. The four alternatives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500"/>
        <w:gridCol w:w="2800"/>
        <w:gridCol w:w="2746"/>
      </w:tblGrid>
      <w:tr>
        <w:trPr>
          <w:cantSplit/>
          <w:tblHeader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How it works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Strengths</w:t>
            </w:r>
          </w:p>
        </w:tc>
        <w:tc>
          <w:tcPr>
            <w:tcW w:type="dxa" w:w="27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Weaknesses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Direct entry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Own Malaysian subsidiary, sales force, warehouse and trade marketing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Full control, highest margin per unit (46% gross), brand ownership</w:t>
            </w:r>
          </w:p>
        </w:tc>
        <w:tc>
          <w:tcPr>
            <w:tcW w:type="dxa" w:w="27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Highest fixed cost and capital (MYR 3m up front), slow listings, foreign-ownership licensing questions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Local distribution partnership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Licensed importer-distributor holds stock and sells to trade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Fast, low capital, halal and listing know-how, immediate door reach</w:t>
            </w:r>
          </w:p>
        </w:tc>
        <w:tc>
          <w:tcPr>
            <w:tcW w:type="dxa" w:w="27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Lower margin (36% gross), less brand and data control, partner dependence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Joint venture (51:49)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Shared entity with a Malaysian food company, potentially with local co-packing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Local credibility, shared capital, option to make locally and lower COGS</w:t>
            </w:r>
          </w:p>
        </w:tc>
        <w:tc>
          <w:tcPr>
            <w:tcW w:type="dxa" w:w="27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Slow to set up, governance risk, Saffron funds 51% of capex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Digital-first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Marketplaces and D2C with 3PL fulfilment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Cheapest test, highest margin, direct consumer data</w:t>
            </w:r>
          </w:p>
        </w:tc>
        <w:tc>
          <w:tcPr>
            <w:tcW w:type="dxa" w:w="27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Online is a small share of packaged-food sales, CAC-heavy, cannot reach scale alone</w:t>
            </w:r>
          </w:p>
        </w:tc>
      </w:tr>
    </w:tbl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7A3E00"/>
          <w:sz w:val="30"/>
          <w:szCs w:val="30"/>
        </w:rPr>
        <w:t xml:space="preserve">3. Financial comparison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All four modes are run on the same SOM path with mode-specific margins, fixed costs, ramp speed and capital (Mode_Compare sheet). The hybrid is valued in the full five-year model, so read the ranking as directional.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1400"/>
        <w:gridCol w:w="1400"/>
        <w:gridCol w:w="1400"/>
        <w:gridCol w:w="1246"/>
      </w:tblGrid>
      <w:tr>
        <w:trPr>
          <w:cantSplit/>
          <w:tblHeader/>
        </w:trPr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Option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NPV (MYR m)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Peak funding (MYR m)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Year-5 revenue (MYR m)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Year-5 EBITDA margin</w:t>
            </w:r>
          </w:p>
        </w:tc>
        <w:tc>
          <w:tcPr>
            <w:tcW w:type="dxa" w:w="12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Score (of 5)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Direct entry (own subsidiary)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-20.0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24.7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30.1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4%</w:t>
            </w:r>
          </w:p>
        </w:tc>
        <w:tc>
          <w:tcPr>
            <w:tcW w:type="dxa" w:w="12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2.10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Local distribution partnership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0.9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6.6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28.6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10%</w:t>
            </w:r>
          </w:p>
        </w:tc>
        <w:tc>
          <w:tcPr>
            <w:tcW w:type="dxa" w:w="12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3.64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Joint venture (51:49)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-9.3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10.9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31.6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8%</w:t>
            </w:r>
          </w:p>
        </w:tc>
        <w:tc>
          <w:tcPr>
            <w:tcW w:type="dxa" w:w="12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2.95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Digital-first (marketplace + D2C)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-6.3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8.1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15.0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-1%</w:t>
            </w:r>
          </w:p>
        </w:tc>
        <w:tc>
          <w:tcPr>
            <w:tcW w:type="dxa" w:w="12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3.27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Recommended: partner-led hybrid + digital layer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11.8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8.3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30.0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13%</w:t>
            </w:r>
          </w:p>
        </w:tc>
        <w:tc>
          <w:tcPr>
            <w:tcW w:type="dxa" w:w="12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4.55</w:t>
            </w:r>
          </w:p>
        </w:tc>
      </w:tr>
    </w:tbl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17"/>
          <w:szCs w:val="17"/>
        </w:rPr>
        <w:t xml:space="preserve">Scores weight financial return 30%, speed 15%, capital at risk 15%, control 15%, halal/local know-how 15%, optionality 10%. The financial score is computed from NPV; other scores are judgements and can be changed in the Entry_Scorecard sheet.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Why the hybrid wins. </w:t>
      </w:r>
      <w:r>
        <w:rPr>
          <w:rFonts w:ascii="Arial" w:cs="Arial" w:eastAsia="Arial" w:hAnsi="Arial"/>
          <w:sz w:val="21"/>
          <w:szCs w:val="21"/>
        </w:rPr>
        <w:t xml:space="preserve">The distributor delivers door reach and halal/regulatory know-how quickly. The digital layer adds the highest-margin revenue (55% gross margin on online sales versus 38% on retail) and consumer data, and foodservice adds volume. Direct entry and a joint venture carry fixed costs that a MYR 30m business cannot absorb. Digital alone is too small.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7A3E00"/>
          <w:sz w:val="30"/>
          <w:szCs w:val="30"/>
        </w:rPr>
        <w:t xml:space="preserve">4. Five-year financials of the recommended path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100"/>
        <w:gridCol w:w="1100"/>
        <w:gridCol w:w="1100"/>
        <w:gridCol w:w="1100"/>
        <w:gridCol w:w="1100"/>
        <w:gridCol w:w="1146"/>
      </w:tblGrid>
      <w:tr>
        <w:trPr>
          <w:cantSplit/>
          <w:tblHeader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MYR m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Y0 2027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Y1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Y2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Y3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Y4</w:t>
            </w:r>
          </w:p>
        </w:tc>
        <w:tc>
          <w:tcPr>
            <w:tcW w:type="dxa" w:w="11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Y5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Revenue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0.0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2.2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7.5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14.9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22.8</w:t>
            </w:r>
          </w:p>
        </w:tc>
        <w:tc>
          <w:tcPr>
            <w:tcW w:type="dxa" w:w="11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30.0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  of which retail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0.0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1.1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4.5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9.5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15.0</w:t>
            </w:r>
          </w:p>
        </w:tc>
        <w:tc>
          <w:tcPr>
            <w:tcW w:type="dxa" w:w="11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20.0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  of which online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0.0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0.8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2.1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3.7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5.3</w:t>
            </w:r>
          </w:p>
        </w:tc>
        <w:tc>
          <w:tcPr>
            <w:tcW w:type="dxa" w:w="11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6.9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  of which foodservice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0.0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0.3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0.9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1.7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2.5</w:t>
            </w:r>
          </w:p>
        </w:tc>
        <w:tc>
          <w:tcPr>
            <w:tcW w:type="dxa" w:w="11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3.2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Gross profit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0.0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1.0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3.1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6.1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9.4</w:t>
            </w:r>
          </w:p>
        </w:tc>
        <w:tc>
          <w:tcPr>
            <w:tcW w:type="dxa" w:w="11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12.3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EBITDA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-1.2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-1.6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-1.0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0.4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2.4</w:t>
            </w:r>
          </w:p>
        </w:tc>
        <w:tc>
          <w:tcPr>
            <w:tcW w:type="dxa" w:w="11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4.4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EBIT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-1.2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-1.8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-1.3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0.0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1.9</w:t>
            </w:r>
          </w:p>
        </w:tc>
        <w:tc>
          <w:tcPr>
            <w:tcW w:type="dxa" w:w="11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3.8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Free cash flow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-2.0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-2.4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-2.6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-1.3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0.7</w:t>
            </w:r>
          </w:p>
        </w:tc>
        <w:tc>
          <w:tcPr>
            <w:tcW w:type="dxa" w:w="11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2.6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Cumulative FCF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-2.0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-4.4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-7.1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-8.3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-7.6</w:t>
            </w:r>
          </w:p>
        </w:tc>
        <w:tc>
          <w:tcPr>
            <w:tcW w:type="dxa" w:w="11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-5.0</w:t>
            </w:r>
          </w:p>
        </w:tc>
      </w:tr>
    </w:tbl>
    <w:p>
      <w:pPr>
        <w:spacing w:after="80"/>
      </w:pP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4.1 Scenarios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800"/>
        <w:gridCol w:w="1800"/>
        <w:gridCol w:w="1800"/>
        <w:gridCol w:w="1846"/>
      </w:tblGrid>
      <w:tr>
        <w:trPr>
          <w:cantSplit/>
          <w:tblHeader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Bear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Base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Bull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Probability-weighted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NPV incl. terminal value (MYR m)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-12.1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11.8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26.3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9.4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NPV, exit-multiple cross-check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-12.1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7.4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20.5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5.8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Year-5 revenue (MYR m)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17.8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30.0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38.5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Year-5 EBIT margin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-6%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13%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19%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Peak funding need (MYR m)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15.7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8.3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6.3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IRR incl. terminal value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n/m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44%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70%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</w:t>
            </w:r>
          </w:p>
        </w:tc>
      </w:tr>
    </w:tbl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17"/>
          <w:szCs w:val="17"/>
        </w:rPr>
        <w:t xml:space="preserve">Weights: Bear 25%, Base 50%, Bull 25%. Bear case: door roll-out 35% slower, sales per door 20% lower, COGS +8%, CAC +25%, Year-1 halal/listing delay. The Bear NPV assumes exit after Year 5 with zero terminal value; stage gates would cut losses earlier.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4.2 Reading the numbers honestly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Value sits beyond Year 5. The explicit five-year NPV is MYR -5.2m and cash payback falls after Year 5, so terminal value is 145% of base NPV. The exit-multiple cross-check (5x EBITDA, deliberately conservative) still gives MYR 7.4m. IRR figures (44% and 35%) are high because the investment is small relative to Year-5 value, and should not be quoted without that context.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Break-even: operating break-even in Year 3. In Year 5, break-even revenue is about MYR 13.8m against MYR 30.0m of revenue, a margin of safety of 54%.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Online unit economics: LTV/CAC is about 3.8x by Year 3 (CAC MYR 28, lifetime value MYR 108), supporting online as an efficient layer if retention holds near 45%.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4.3 Sensitivity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The tornado below shows the NPV change when one driver moves at a time (MYR m, base NPV 11.8).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500"/>
        <w:gridCol w:w="1500"/>
        <w:gridCol w:w="1500"/>
        <w:gridCol w:w="1846"/>
      </w:tblGrid>
      <w:tr>
        <w:trPr>
          <w:cantSplit/>
          <w:tblHeader/>
        </w:trP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Driver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Low case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High case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NPV at low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NPV at high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Discount rate (WACC)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14%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7.5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18.7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Sales per door / foodservice volume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-20%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+20%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5.6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15.3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Door roll-out pace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-20%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+20%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6.5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15.0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COGS (FX, duty, freight)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+5%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-5%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6.9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15.1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Fixed costs (team, G&amp;A)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+20%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-20%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7.2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13.7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Terminal growth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9.9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14.1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Net working capital % revenue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18%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12%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9.8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13.8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Online new-customer volume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-30%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+30%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10.3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13.2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Trade and brand spend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+20%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-20%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10.9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12.7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6E3C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Customer acquisition cost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+30%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-30%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11.1</w:t>
            </w:r>
          </w:p>
        </w:tc>
        <w:tc>
          <w:tcPr>
            <w:tcW w:type="dxa" w:w="18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12.5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NPV is most exposed to the discount rate, door roll-out pace, sales per door and COGS. Distribution execution, not market growth, decides the outcome, so Phase 1 is designed to prove roll-out pace and throughput per door early.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7A3E00"/>
          <w:sz w:val="30"/>
          <w:szCs w:val="30"/>
        </w:rPr>
        <w:t xml:space="preserve">5. Stage-gated roadmap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000"/>
        <w:gridCol w:w="3600"/>
        <w:gridCol w:w="2446"/>
      </w:tblGrid>
      <w:tr>
        <w:trPr>
          <w:cantSplit/>
          <w:tblHeader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Timing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Scope</w:t>
            </w:r>
          </w:p>
        </w:tc>
        <w:tc>
          <w:tcPr>
            <w:tcW w:type="dxa" w:w="24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Exit gate to proceed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0. Validate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Now to Month 6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Shelf audit, consumer survey, halal certification via a JAKIM-recognised Indian body, product registration, distributor shortlist and term sheet</w:t>
            </w:r>
          </w:p>
        </w:tc>
        <w:tc>
          <w:tcPr>
            <w:tcW w:type="dxa" w:w="24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Halal certificate in hand; distributor signed; price index and spend assumptions confirmed; cap spend near MYR 1.2m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1. Launch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Year 1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Klang Valley and Johor, about 450 doors, 8-10 SKUs, marketplace and TikTok Shop store, small foodservice pilot</w:t>
            </w:r>
          </w:p>
        </w:tc>
        <w:tc>
          <w:tcPr>
            <w:tcW w:type="dxa" w:w="24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At least 300 doors by Month 9; monthly sales per door at least MYR 400; CAC at or below MYR 35. Cumulative exposure to this point about MYR 4.4m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2. Scale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Years 2-3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About 2,100 doors, Penang and Negeri Sembilan, frozen range in cold chain, foodservice accounts</w:t>
            </w:r>
          </w:p>
        </w:tc>
        <w:tc>
          <w:tcPr>
            <w:tcW w:type="dxa" w:w="24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Doors at least 1,200 by Month 24; EBIT near break-even by Year 3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3. Optimise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Years 4-5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Evaluate local co-packing or a JV to cut COGS and duty exposure; consider a subsidiary when volume justifies fixed cost</w:t>
            </w:r>
          </w:p>
        </w:tc>
        <w:tc>
          <w:tcPr>
            <w:tcW w:type="dxa" w:w="24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EBIT margin above 10% and gross margin above 40%</w:t>
            </w:r>
          </w:p>
        </w:tc>
      </w:tr>
    </w:tbl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7A3E00"/>
          <w:sz w:val="30"/>
          <w:szCs w:val="30"/>
        </w:rPr>
        <w:t xml:space="preserve">6. Key risks and mitigations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800"/>
        <w:gridCol w:w="3646"/>
      </w:tblGrid>
      <w:tr>
        <w:trPr>
          <w:cantSplit/>
          <w:tblHeader/>
        </w:trP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Why it matters</w:t>
            </w:r>
          </w:p>
        </w:tc>
        <w:tc>
          <w:tcPr>
            <w:tcW w:type="dxa" w:w="36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7A3E0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Mitigation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Halal or registration delay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No halal logo means no mainstream access</w:t>
            </w:r>
          </w:p>
        </w:tc>
        <w:tc>
          <w:tcPr>
            <w:tcW w:type="dxa" w:w="36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Start certification in Month 0; use an Indian body on JAKIM's recognised list; Year-1 delay is in the Bear case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Distributor under-performance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Door roll-out and throughput are top NPV drivers</w:t>
            </w:r>
          </w:p>
        </w:tc>
        <w:tc>
          <w:tcPr>
            <w:tcW w:type="dxa" w:w="36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Performance-linked terms, 18-month exclusivity limited by volume, quarterly business reviews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FX and duty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INR-MYR moves and tariffs hit landed COGS</w:t>
            </w:r>
          </w:p>
        </w:tc>
        <w:tc>
          <w:tcPr>
            <w:tcW w:type="dxa" w:w="36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Annual price indexing, HS-code duty review, local co-packing option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Price pressure from local brands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Value-conscious shoppers and strong incumbents</w:t>
            </w:r>
          </w:p>
        </w:tc>
        <w:tc>
          <w:tcPr>
            <w:tcW w:type="dxa" w:w="36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Hold price index at 115-125 and compete on authenticity and range; avoid deep promotions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Online CAC inflation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Social commerce costs can rise quickly</w:t>
            </w:r>
          </w:p>
        </w:tc>
        <w:tc>
          <w:tcPr>
            <w:tcW w:type="dxa" w:w="364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Cap CAC at MYR 35; shift to retention and bundles; LTV/CAC floor of 3x</w:t>
            </w:r>
          </w:p>
        </w:tc>
      </w:tr>
    </w:tbl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7A3E00"/>
          <w:sz w:val="30"/>
          <w:szCs w:val="30"/>
        </w:rPr>
        <w:t xml:space="preserve">7. Next steps (first 90 days)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Appoint a regulatory consultant and file for halal certification through a JAKIM-recognised Indian body.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Commission the shelf audit and a 600-person consumer survey to replace the low-confidence inputs.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Issue an RFP to three licensed distributors and negotiate performance-linked terms.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Open marketplace seller accounts and run a small paid pilot to test CAC and repeat rate before the Year-1 commitment.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88888"/>
        <w:sz w:val="16"/>
        <w:szCs w:val="16"/>
      </w:rPr>
      <w:t xml:space="preserve">Saffron Route Foods (fictional company) | Illustrative case study | Page </w:t>
    </w:r>
    <w:r>
      <w:rPr>
        <w:rFonts w:ascii="Arial" w:cs="Arial" w:eastAsia="Arial" w:hAnsi="Arial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2026-10-12T19:34:44.838Z</dcterms:created>
  <dcterms:modified xsi:type="dcterms:W3CDTF">2026-10-12T19:34:44.838Z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